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-3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45160" cy="1887855"/>
                <wp:effectExtent l="0" t="0" r="0" b="761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5160" cy="1887855"/>
                          <a:chExt cx="645160" cy="18878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5160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1450340">
                                <a:moveTo>
                                  <a:pt x="0" y="1450122"/>
                                </a:moveTo>
                                <a:lnTo>
                                  <a:pt x="644862" y="1450122"/>
                                </a:lnTo>
                                <a:lnTo>
                                  <a:pt x="64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A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450122"/>
                            <a:ext cx="64516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438150">
                                <a:moveTo>
                                  <a:pt x="0" y="437580"/>
                                </a:moveTo>
                                <a:lnTo>
                                  <a:pt x="644862" y="437580"/>
                                </a:lnTo>
                                <a:lnTo>
                                  <a:pt x="64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8pt;height:148.65pt;mso-position-horizontal-relative:char;mso-position-vertical-relative:line" id="docshapegroup1" coordorigin="0,0" coordsize="1016,2973">
                <v:rect style="position:absolute;left:0;top:0;width:1016;height:2284" id="docshape2" filled="true" fillcolor="#dd1a20" stroked="false">
                  <v:fill type="solid"/>
                </v:rect>
                <v:rect style="position:absolute;left:0;top:2283;width:1016;height:690" id="docshape3" filled="true" fillcolor="#181818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rFonts w:ascii="Times New Roman"/>
          <w:spacing w:val="144"/>
          <w:position w:val="26"/>
          <w:sz w:val="20"/>
        </w:rPr>
        <w:drawing>
          <wp:inline distT="0" distB="0" distL="0" distR="0">
            <wp:extent cx="3363006" cy="158686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006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26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4327711</wp:posOffset>
                </wp:positionH>
                <wp:positionV relativeFrom="paragraph">
                  <wp:posOffset>-1923033</wp:posOffset>
                </wp:positionV>
                <wp:extent cx="3444875" cy="188785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444875" cy="1887855"/>
                          <a:chExt cx="3444875" cy="18878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444875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4875" h="1450340">
                                <a:moveTo>
                                  <a:pt x="0" y="1450122"/>
                                </a:moveTo>
                                <a:lnTo>
                                  <a:pt x="3444688" y="1450122"/>
                                </a:lnTo>
                                <a:lnTo>
                                  <a:pt x="3444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0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A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450122"/>
                            <a:ext cx="3444875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4875" h="438150">
                                <a:moveTo>
                                  <a:pt x="0" y="437580"/>
                                </a:moveTo>
                                <a:lnTo>
                                  <a:pt x="3444687" y="437580"/>
                                </a:lnTo>
                                <a:lnTo>
                                  <a:pt x="3444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8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3444875" cy="188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23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402" w:firstLine="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1"/>
                                </w:rPr>
                                <w:t>703.532.9400</w:t>
                              </w:r>
                            </w:p>
                            <w:p>
                              <w:pPr>
                                <w:spacing w:line="376" w:lineRule="auto" w:before="135"/>
                                <w:ind w:left="1355" w:right="391" w:firstLine="1541"/>
                                <w:jc w:val="right"/>
                                <w:rPr>
                                  <w:sz w:val="21"/>
                                </w:rPr>
                              </w:pPr>
                              <w:hyperlink r:id="rId6">
                                <w:r>
                                  <w:rPr>
                                    <w:color w:val="FFFFFF"/>
                                    <w:spacing w:val="-2"/>
                                    <w:w w:val="115"/>
                                    <w:sz w:val="21"/>
                                  </w:rPr>
                                  <w:t>info@ifdaonline.org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2"/>
                                  <w:w w:val="1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1"/>
                                </w:rPr>
                                <w:t>1660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1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1"/>
                                </w:rPr>
                                <w:t>Drive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1"/>
                                </w:rPr>
                                <w:t>Suite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5"/>
                                  <w:sz w:val="21"/>
                                </w:rPr>
                                <w:t>550</w:t>
                              </w:r>
                            </w:p>
                            <w:p>
                              <w:pPr>
                                <w:spacing w:line="214" w:lineRule="exact" w:before="0"/>
                                <w:ind w:left="0" w:right="402" w:firstLine="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McLean,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1"/>
                                </w:rPr>
                                <w:t>22102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0.764709pt;margin-top:-151.419952pt;width:271.25pt;height:148.65pt;mso-position-horizontal-relative:page;mso-position-vertical-relative:paragraph;z-index:15729152" id="docshapegroup4" coordorigin="6815,-3028" coordsize="5425,2973">
                <v:rect style="position:absolute;left:6815;top:-3029;width:5425;height:2284" id="docshape5" filled="true" fillcolor="#dd1a20" stroked="false">
                  <v:fill type="solid"/>
                </v:rect>
                <v:rect style="position:absolute;left:6815;top:-745;width:5425;height:690" id="docshape6" filled="true" fillcolor="#181818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815;top:-3029;width:5425;height:2973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23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0" w:right="402" w:firstLine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105"/>
                            <w:sz w:val="21"/>
                          </w:rPr>
                          <w:t>703.532.9400</w:t>
                        </w:r>
                      </w:p>
                      <w:p>
                        <w:pPr>
                          <w:spacing w:line="376" w:lineRule="auto" w:before="135"/>
                          <w:ind w:left="1355" w:right="391" w:firstLine="1541"/>
                          <w:jc w:val="right"/>
                          <w:rPr>
                            <w:sz w:val="21"/>
                          </w:rPr>
                        </w:pPr>
                        <w:hyperlink r:id="rId6">
                          <w:r>
                            <w:rPr>
                              <w:color w:val="FFFFFF"/>
                              <w:spacing w:val="-2"/>
                              <w:w w:val="115"/>
                              <w:sz w:val="21"/>
                            </w:rPr>
                            <w:t>info@ifdaonline.org</w:t>
                          </w:r>
                        </w:hyperlink>
                        <w:r>
                          <w:rPr>
                            <w:color w:val="FFFFFF"/>
                            <w:spacing w:val="-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1"/>
                          </w:rPr>
                          <w:t>1660</w:t>
                        </w:r>
                        <w:r>
                          <w:rPr>
                            <w:color w:val="FFFFFF"/>
                            <w:spacing w:val="-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1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1"/>
                          </w:rPr>
                          <w:t>Drive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1"/>
                          </w:rPr>
                          <w:t>Suite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w w:val="115"/>
                            <w:sz w:val="21"/>
                          </w:rPr>
                          <w:t>550</w:t>
                        </w:r>
                      </w:p>
                      <w:p>
                        <w:pPr>
                          <w:spacing w:line="214" w:lineRule="exact" w:before="0"/>
                          <w:ind w:left="0" w:right="402" w:firstLine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McLean,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VA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1"/>
                          </w:rPr>
                          <w:t>22102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81818"/>
        </w:rPr>
        <w:t>IFDA</w:t>
      </w:r>
      <w:r>
        <w:rPr>
          <w:color w:val="181818"/>
          <w:spacing w:val="62"/>
        </w:rPr>
        <w:t> </w:t>
      </w:r>
      <w:r>
        <w:rPr>
          <w:color w:val="181818"/>
        </w:rPr>
        <w:t>Member</w:t>
      </w:r>
      <w:r>
        <w:rPr>
          <w:color w:val="181818"/>
          <w:spacing w:val="63"/>
        </w:rPr>
        <w:t> </w:t>
      </w:r>
      <w:r>
        <w:rPr>
          <w:color w:val="181818"/>
        </w:rPr>
        <w:t>Code</w:t>
      </w:r>
      <w:r>
        <w:rPr>
          <w:color w:val="181818"/>
          <w:spacing w:val="63"/>
        </w:rPr>
        <w:t> </w:t>
      </w:r>
      <w:r>
        <w:rPr>
          <w:color w:val="181818"/>
        </w:rPr>
        <w:t>of</w:t>
      </w:r>
      <w:r>
        <w:rPr>
          <w:color w:val="181818"/>
          <w:spacing w:val="63"/>
        </w:rPr>
        <w:t> </w:t>
      </w:r>
      <w:r>
        <w:rPr>
          <w:color w:val="181818"/>
          <w:spacing w:val="-2"/>
        </w:rPr>
        <w:t>Conduct</w:t>
      </w:r>
    </w:p>
    <w:p>
      <w:pPr>
        <w:pStyle w:val="BodyText"/>
        <w:spacing w:line="288" w:lineRule="auto" w:before="180"/>
        <w:ind w:right="1053"/>
      </w:pPr>
      <w:r>
        <w:rPr>
          <w:color w:val="181818"/>
          <w:w w:val="110"/>
        </w:rPr>
        <w:t>The International Foodservice Distributors Association (IFDA) is the premier </w:t>
      </w:r>
      <w:r>
        <w:rPr>
          <w:color w:val="181818"/>
          <w:w w:val="110"/>
        </w:rPr>
        <w:t>trade </w:t>
      </w:r>
      <w:r>
        <w:rPr>
          <w:color w:val="181818"/>
          <w:w w:val="115"/>
        </w:rPr>
        <w:t>association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foodservice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distribution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industry.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IFDA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contributes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to</w:t>
      </w:r>
      <w:r>
        <w:rPr>
          <w:color w:val="181818"/>
          <w:spacing w:val="-1"/>
          <w:w w:val="115"/>
        </w:rPr>
        <w:t> </w:t>
      </w:r>
      <w:r>
        <w:rPr>
          <w:color w:val="181818"/>
          <w:w w:val="115"/>
        </w:rPr>
        <w:t>the growth, development, and success of the foodservice distribution industry through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our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outstanding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advocacy,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events,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research,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and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15"/>
        </w:rPr>
        <w:t>education.</w:t>
      </w:r>
    </w:p>
    <w:p>
      <w:pPr>
        <w:pStyle w:val="BodyText"/>
        <w:spacing w:before="66"/>
        <w:ind w:left="0"/>
      </w:pPr>
    </w:p>
    <w:p>
      <w:pPr>
        <w:pStyle w:val="BodyText"/>
        <w:spacing w:line="288" w:lineRule="auto"/>
        <w:ind w:right="1053"/>
      </w:pPr>
      <w:r>
        <w:rPr>
          <w:color w:val="181818"/>
          <w:w w:val="115"/>
        </w:rPr>
        <w:t>IFDA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is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committed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to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fostering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an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environment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that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provides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a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safe,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ethical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and diverse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community.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IFDA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members,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partners,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vendors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and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all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organizations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or individuals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conducting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business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with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IFDA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are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expected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to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uphold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these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same </w:t>
      </w:r>
      <w:r>
        <w:rPr>
          <w:color w:val="181818"/>
          <w:w w:val="110"/>
        </w:rPr>
        <w:t>values across all IFDA programs and services.</w:t>
      </w:r>
    </w:p>
    <w:p>
      <w:pPr>
        <w:pStyle w:val="BodyText"/>
        <w:spacing w:before="65"/>
        <w:ind w:left="0"/>
      </w:pPr>
    </w:p>
    <w:p>
      <w:pPr>
        <w:pStyle w:val="BodyText"/>
        <w:spacing w:line="288" w:lineRule="auto" w:before="1"/>
        <w:ind w:right="1053"/>
      </w:pPr>
      <w:r>
        <w:rPr>
          <w:color w:val="181818"/>
          <w:w w:val="110"/>
        </w:rPr>
        <w:t>We value the engagement of each participating company of the association. Association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participants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are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expected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conduct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themselves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with</w:t>
      </w:r>
      <w:r>
        <w:rPr>
          <w:color w:val="181818"/>
          <w:spacing w:val="40"/>
          <w:w w:val="110"/>
        </w:rPr>
        <w:t> </w:t>
      </w:r>
      <w:r>
        <w:rPr>
          <w:color w:val="181818"/>
          <w:w w:val="110"/>
        </w:rPr>
        <w:t>integrity, courtesy and respect for others and maintain the highest level of </w:t>
      </w:r>
      <w:r>
        <w:rPr>
          <w:color w:val="181818"/>
          <w:w w:val="110"/>
        </w:rPr>
        <w:t>professionalism. Any company and its representatives engaging with IFDA are required to observe this Code of Conduct.</w:t>
      </w:r>
    </w:p>
    <w:p>
      <w:pPr>
        <w:pStyle w:val="BodyText"/>
        <w:spacing w:before="67"/>
        <w:ind w:left="0"/>
      </w:pPr>
    </w:p>
    <w:p>
      <w:pPr>
        <w:pStyle w:val="BodyText"/>
        <w:spacing w:line="288" w:lineRule="auto"/>
        <w:ind w:right="2583"/>
      </w:pPr>
      <w:r>
        <w:rPr>
          <w:color w:val="181818"/>
          <w:w w:val="115"/>
        </w:rPr>
        <w:t>The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following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guidelines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are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expectations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all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persons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participating in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Association’s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programs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and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services.</w:t>
      </w:r>
    </w:p>
    <w:p>
      <w:pPr>
        <w:pStyle w:val="BodyText"/>
        <w:spacing w:before="63"/>
        <w:ind w:left="0"/>
      </w:pPr>
    </w:p>
    <w:p>
      <w:pPr>
        <w:pStyle w:val="BodyText"/>
        <w:ind w:left="286"/>
      </w:pPr>
      <w:r>
        <w:rPr>
          <w:position w:val="3"/>
        </w:rPr>
        <w:drawing>
          <wp:inline distT="0" distB="0" distL="0" distR="0">
            <wp:extent cx="47625" cy="47625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69"/>
          <w:w w:val="110"/>
          <w:sz w:val="20"/>
        </w:rPr>
        <w:t>  </w:t>
      </w:r>
      <w:r>
        <w:rPr>
          <w:color w:val="181818"/>
          <w:w w:val="110"/>
        </w:rPr>
        <w:t>Comply with all federal, state, and local laws, rules, and regulations.</w:t>
      </w:r>
    </w:p>
    <w:p>
      <w:pPr>
        <w:pStyle w:val="BodyText"/>
        <w:spacing w:line="288" w:lineRule="auto" w:before="61"/>
        <w:ind w:right="1053" w:firstLine="180"/>
      </w:pPr>
      <w:r>
        <w:rPr>
          <w:position w:val="3"/>
        </w:rPr>
        <w:drawing>
          <wp:inline distT="0" distB="0" distL="0" distR="0">
            <wp:extent cx="47625" cy="4762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33"/>
          <w:w w:val="115"/>
          <w:sz w:val="20"/>
        </w:rPr>
        <w:t>  </w:t>
      </w:r>
      <w:r>
        <w:rPr>
          <w:color w:val="181818"/>
          <w:w w:val="115"/>
        </w:rPr>
        <w:t>Interact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with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others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with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respect,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courtesy,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and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consideration,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creating</w:t>
      </w:r>
      <w:r>
        <w:rPr>
          <w:color w:val="181818"/>
          <w:spacing w:val="-19"/>
          <w:w w:val="115"/>
        </w:rPr>
        <w:t> </w:t>
      </w:r>
      <w:r>
        <w:rPr>
          <w:color w:val="181818"/>
          <w:w w:val="115"/>
        </w:rPr>
        <w:t>the space for everyone to actively contribute.</w:t>
      </w:r>
    </w:p>
    <w:p>
      <w:pPr>
        <w:pStyle w:val="BodyText"/>
        <w:spacing w:line="288" w:lineRule="auto" w:before="3"/>
        <w:ind w:right="1053" w:firstLine="180"/>
      </w:pPr>
      <w:r>
        <w:rPr>
          <w:position w:val="3"/>
        </w:rPr>
        <w:drawing>
          <wp:inline distT="0" distB="0" distL="0" distR="0">
            <wp:extent cx="47625" cy="47625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28"/>
          <w:w w:val="115"/>
          <w:sz w:val="20"/>
        </w:rPr>
        <w:t>  </w:t>
      </w:r>
      <w:r>
        <w:rPr>
          <w:color w:val="181818"/>
          <w:w w:val="115"/>
        </w:rPr>
        <w:t>Avoid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demeaning,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discriminatory,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or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harassing</w:t>
      </w:r>
      <w:r>
        <w:rPr>
          <w:color w:val="181818"/>
          <w:spacing w:val="-20"/>
          <w:w w:val="115"/>
        </w:rPr>
        <w:t> </w:t>
      </w:r>
      <w:r>
        <w:rPr>
          <w:color w:val="181818"/>
          <w:w w:val="115"/>
        </w:rPr>
        <w:t>communication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(both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spoken and written) behavior and materials with others.</w:t>
      </w:r>
    </w:p>
    <w:p>
      <w:pPr>
        <w:pStyle w:val="BodyText"/>
        <w:spacing w:line="288" w:lineRule="auto" w:before="2"/>
        <w:ind w:right="1053" w:firstLine="180"/>
      </w:pPr>
      <w:r>
        <w:rPr>
          <w:position w:val="3"/>
        </w:rPr>
        <w:drawing>
          <wp:inline distT="0" distB="0" distL="0" distR="0">
            <wp:extent cx="47625" cy="47625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40"/>
          <w:w w:val="115"/>
          <w:sz w:val="20"/>
        </w:rPr>
        <w:t>  </w:t>
      </w:r>
      <w:r>
        <w:rPr>
          <w:color w:val="181818"/>
          <w:w w:val="115"/>
        </w:rPr>
        <w:t>Protect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Association’s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proprietary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and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confidential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information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from inappropriate use or misappropriation.</w:t>
      </w:r>
    </w:p>
    <w:p>
      <w:pPr>
        <w:pStyle w:val="BodyText"/>
        <w:spacing w:before="64"/>
        <w:ind w:left="0"/>
      </w:pPr>
    </w:p>
    <w:p>
      <w:pPr>
        <w:pStyle w:val="BodyText"/>
        <w:spacing w:line="288" w:lineRule="auto"/>
        <w:ind w:right="1053"/>
      </w:pPr>
      <w:r>
        <w:rPr>
          <w:color w:val="181818"/>
          <w:w w:val="110"/>
        </w:rPr>
        <w:t>To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report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violation,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please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contact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Mark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Allen,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President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&amp;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CEO: </w:t>
      </w:r>
      <w:hyperlink r:id="rId9">
        <w:r>
          <w:rPr>
            <w:color w:val="181818"/>
            <w:spacing w:val="-2"/>
            <w:w w:val="110"/>
          </w:rPr>
          <w:t>mallen@ifdaonline.org</w:t>
        </w:r>
      </w:hyperlink>
    </w:p>
    <w:p>
      <w:pPr>
        <w:pStyle w:val="BodyText"/>
        <w:spacing w:before="107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80" w:right="0"/>
        </w:sectPr>
      </w:pPr>
    </w:p>
    <w:p>
      <w:pPr>
        <w:pStyle w:val="BodyText"/>
        <w:spacing w:before="104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0</wp:posOffset>
                </wp:positionH>
                <wp:positionV relativeFrom="page">
                  <wp:posOffset>9347200</wp:posOffset>
                </wp:positionV>
                <wp:extent cx="7772400" cy="7112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772400" cy="711200"/>
                          <a:chExt cx="7772400" cy="7112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77240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11200">
                                <a:moveTo>
                                  <a:pt x="7772400" y="711199"/>
                                </a:moveTo>
                                <a:lnTo>
                                  <a:pt x="0" y="711199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11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A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346" y="205769"/>
                            <a:ext cx="216120" cy="2161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41156" y="205696"/>
                            <a:ext cx="216038" cy="2160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1387" y="205758"/>
                            <a:ext cx="216085" cy="216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2pt;margin-top:736.000061pt;width:612pt;height:56pt;mso-position-horizontal-relative:page;mso-position-vertical-relative:page;z-index:-15771136" id="docshapegroup8" coordorigin="0,14720" coordsize="12240,1120">
                <v:rect style="position:absolute;left:0;top:14720;width:12240;height:1120" id="docshape9" filled="true" fillcolor="#dd1a20" stroked="false">
                  <v:fill type="solid"/>
                </v:rect>
                <v:shape style="position:absolute;left:4128;top:15044;width:341;height:341" type="#_x0000_t75" id="docshape10" stroked="false">
                  <v:imagedata r:id="rId10" o:title=""/>
                </v:shape>
                <v:shape style="position:absolute;left:7623;top:15043;width:341;height:341" type="#_x0000_t75" id="docshape11" stroked="false">
                  <v:imagedata r:id="rId11" o:title=""/>
                </v:shape>
                <v:shape style="position:absolute;left:1639;top:15044;width:341;height:341" type="#_x0000_t75" id="docshape12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784" w:right="0" w:firstLine="0"/>
        <w:jc w:val="left"/>
        <w:rPr>
          <w:sz w:val="19"/>
        </w:rPr>
      </w:pPr>
      <w:r>
        <w:rPr>
          <w:color w:val="FFFFFF"/>
          <w:spacing w:val="-2"/>
          <w:w w:val="105"/>
          <w:sz w:val="19"/>
        </w:rPr>
        <w:t>703.532.9400</w:t>
      </w:r>
    </w:p>
    <w:p>
      <w:pPr>
        <w:spacing w:before="112"/>
        <w:ind w:left="1251" w:right="0" w:firstLine="0"/>
        <w:jc w:val="left"/>
        <w:rPr>
          <w:sz w:val="19"/>
        </w:rPr>
      </w:pPr>
      <w:r>
        <w:rPr/>
        <w:br w:type="column"/>
      </w:r>
      <w:r>
        <w:rPr>
          <w:color w:val="FFFFFF"/>
          <w:w w:val="110"/>
          <w:sz w:val="19"/>
        </w:rPr>
        <w:t>1660</w:t>
      </w:r>
      <w:r>
        <w:rPr>
          <w:color w:val="FFFFFF"/>
          <w:spacing w:val="4"/>
          <w:w w:val="110"/>
          <w:sz w:val="19"/>
        </w:rPr>
        <w:t> </w:t>
      </w:r>
      <w:r>
        <w:rPr>
          <w:color w:val="FFFFFF"/>
          <w:w w:val="110"/>
          <w:sz w:val="19"/>
        </w:rPr>
        <w:t>International</w:t>
      </w:r>
      <w:r>
        <w:rPr>
          <w:color w:val="FFFFFF"/>
          <w:spacing w:val="4"/>
          <w:w w:val="110"/>
          <w:sz w:val="19"/>
        </w:rPr>
        <w:t> </w:t>
      </w:r>
      <w:r>
        <w:rPr>
          <w:color w:val="FFFFFF"/>
          <w:spacing w:val="-4"/>
          <w:w w:val="110"/>
          <w:sz w:val="19"/>
        </w:rPr>
        <w:t>Drive</w:t>
      </w:r>
    </w:p>
    <w:p>
      <w:pPr>
        <w:spacing w:before="35"/>
        <w:ind w:left="1251" w:right="0" w:firstLine="0"/>
        <w:jc w:val="left"/>
        <w:rPr>
          <w:sz w:val="19"/>
        </w:rPr>
      </w:pPr>
      <w:r>
        <w:rPr>
          <w:color w:val="FFFFFF"/>
          <w:w w:val="110"/>
          <w:sz w:val="19"/>
        </w:rPr>
        <w:t>Suite</w:t>
      </w:r>
      <w:r>
        <w:rPr>
          <w:color w:val="FFFFFF"/>
          <w:spacing w:val="-11"/>
          <w:w w:val="110"/>
          <w:sz w:val="19"/>
        </w:rPr>
        <w:t> </w:t>
      </w:r>
      <w:r>
        <w:rPr>
          <w:color w:val="FFFFFF"/>
          <w:spacing w:val="-5"/>
          <w:w w:val="110"/>
          <w:sz w:val="19"/>
        </w:rPr>
        <w:t>550</w:t>
      </w:r>
    </w:p>
    <w:p>
      <w:pPr>
        <w:spacing w:before="36"/>
        <w:ind w:left="1251" w:right="0" w:firstLine="0"/>
        <w:jc w:val="left"/>
        <w:rPr>
          <w:sz w:val="19"/>
        </w:rPr>
      </w:pPr>
      <w:r>
        <w:rPr>
          <w:color w:val="FFFFFF"/>
          <w:w w:val="105"/>
          <w:sz w:val="19"/>
        </w:rPr>
        <w:t>McLean,</w:t>
      </w:r>
      <w:r>
        <w:rPr>
          <w:color w:val="FFFFFF"/>
          <w:spacing w:val="-8"/>
          <w:w w:val="105"/>
          <w:sz w:val="19"/>
        </w:rPr>
        <w:t> </w:t>
      </w:r>
      <w:r>
        <w:rPr>
          <w:color w:val="FFFFFF"/>
          <w:w w:val="105"/>
          <w:sz w:val="19"/>
        </w:rPr>
        <w:t>VA</w:t>
      </w:r>
      <w:r>
        <w:rPr>
          <w:color w:val="FFFFFF"/>
          <w:spacing w:val="-8"/>
          <w:w w:val="105"/>
          <w:sz w:val="19"/>
        </w:rPr>
        <w:t> </w:t>
      </w:r>
      <w:r>
        <w:rPr>
          <w:color w:val="FFFFFF"/>
          <w:spacing w:val="-2"/>
          <w:w w:val="105"/>
          <w:sz w:val="19"/>
        </w:rPr>
        <w:t>22102</w:t>
      </w:r>
    </w:p>
    <w:p>
      <w:pPr>
        <w:spacing w:line="240" w:lineRule="auto" w:before="10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35" w:right="0" w:firstLine="0"/>
        <w:jc w:val="left"/>
        <w:rPr>
          <w:sz w:val="19"/>
        </w:rPr>
      </w:pPr>
      <w:hyperlink r:id="rId6">
        <w:r>
          <w:rPr>
            <w:color w:val="FFFFFF"/>
            <w:spacing w:val="-2"/>
            <w:w w:val="110"/>
            <w:sz w:val="19"/>
          </w:rPr>
          <w:t>info@ifdaonline.org</w:t>
        </w:r>
      </w:hyperlink>
    </w:p>
    <w:sectPr>
      <w:type w:val="continuous"/>
      <w:pgSz w:w="12240" w:h="15840"/>
      <w:pgMar w:top="0" w:bottom="0" w:left="380" w:right="0"/>
      <w:cols w:num="3" w:equalWidth="0">
        <w:col w:w="3014" w:space="40"/>
        <w:col w:w="3482" w:space="39"/>
        <w:col w:w="5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7"/>
      <w:ind w:left="106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ifdaonline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mallen@ifdaonline.org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Moriarty</dc:creator>
  <cp:keywords>DAGAio0O3hY,BACw6Djzrh0</cp:keywords>
  <dc:title>IFDA Member Code of Conduct 2024</dc:title>
  <dcterms:created xsi:type="dcterms:W3CDTF">2024-04-01T20:36:52Z</dcterms:created>
  <dcterms:modified xsi:type="dcterms:W3CDTF">2024-04-01T20:36:52Z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2024-04-01T00:00:00Z</vt:filetime>
  </property>
  <property fmtid="{D5CDD505-2E9C-101B-9397-08002B2CF9AE}" pid="5" name="Producer">
    <vt:lpwstr>Canva</vt:lpwstr>
  </property>
</Properties>
</file>